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3C696" w14:textId="77777777" w:rsidR="000C10D5" w:rsidRPr="00D83AFE" w:rsidRDefault="000C10D5" w:rsidP="000C10D5">
      <w:pPr>
        <w:pStyle w:val="TitleMain"/>
      </w:pPr>
      <w:r w:rsidRPr="00D83AFE">
        <w:drawing>
          <wp:anchor distT="0" distB="0" distL="114300" distR="114300" simplePos="0" relativeHeight="251659264" behindDoc="0" locked="0" layoutInCell="1" allowOverlap="1" wp14:anchorId="361E8EAE" wp14:editId="4D546886">
            <wp:simplePos x="0" y="0"/>
            <wp:positionH relativeFrom="margin">
              <wp:align>left</wp:align>
            </wp:positionH>
            <wp:positionV relativeFrom="paragraph">
              <wp:posOffset>0</wp:posOffset>
            </wp:positionV>
            <wp:extent cx="1190625" cy="1534795"/>
            <wp:effectExtent l="0" t="0" r="9525" b="8255"/>
            <wp:wrapSquare wrapText="right"/>
            <wp:docPr id="24868720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687202" name="image1.png">
                      <a:extLst>
                        <a:ext uri="{C183D7F6-B498-43B3-948B-1728B52AA6E4}">
                          <adec:decorative xmlns:adec="http://schemas.microsoft.com/office/drawing/2017/decorative" val="1"/>
                        </a:ext>
                      </a:extLst>
                    </pic:cNvPr>
                    <pic:cNvPicPr/>
                  </pic:nvPicPr>
                  <pic:blipFill>
                    <a:blip r:embed="rId7">
                      <a:lum/>
                      <a:alphaModFix/>
                    </a:blip>
                    <a:srcRect/>
                    <a:stretch>
                      <a:fillRect/>
                    </a:stretch>
                  </pic:blipFill>
                  <pic:spPr>
                    <a:xfrm>
                      <a:off x="0" y="0"/>
                      <a:ext cx="1190625" cy="15347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D83AFE">
        <w:t>Einheit 11 – Kapitel 21 &amp; 22</w:t>
      </w:r>
    </w:p>
    <w:p w14:paraId="58964208" w14:textId="77777777" w:rsidR="000C10D5" w:rsidRPr="00D83AFE" w:rsidRDefault="000C10D5" w:rsidP="000C10D5">
      <w:pPr>
        <w:pStyle w:val="Title"/>
        <w:rPr>
          <w:noProof w:val="0"/>
        </w:rPr>
      </w:pPr>
      <w:r w:rsidRPr="00D83AFE">
        <mc:AlternateContent>
          <mc:Choice Requires="wps">
            <w:drawing>
              <wp:anchor distT="0" distB="0" distL="114300" distR="114300" simplePos="0" relativeHeight="251660288" behindDoc="0" locked="0" layoutInCell="1" allowOverlap="1" wp14:anchorId="3A3AC92D" wp14:editId="7C449DC8">
                <wp:simplePos x="0" y="0"/>
                <wp:positionH relativeFrom="character">
                  <wp:align>left</wp:align>
                </wp:positionH>
                <wp:positionV relativeFrom="paragraph">
                  <wp:posOffset>360045</wp:posOffset>
                </wp:positionV>
                <wp:extent cx="3531600" cy="0"/>
                <wp:effectExtent l="0" t="0" r="0" b="0"/>
                <wp:wrapNone/>
                <wp:docPr id="160394567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31600" cy="0"/>
                        </a:xfrm>
                        <a:prstGeom prst="line">
                          <a:avLst/>
                        </a:prstGeom>
                        <a:noFill/>
                        <a:ln w="12618" cap="flat">
                          <a:solidFill>
                            <a:schemeClr val="accent1"/>
                          </a:solidFill>
                          <a:prstDash val="solid"/>
                          <a:miter/>
                        </a:ln>
                      </wps:spPr>
                      <wps:bodyPr/>
                    </wps:wsp>
                  </a:graphicData>
                </a:graphic>
                <wp14:sizeRelH relativeFrom="margin">
                  <wp14:pctWidth>0</wp14:pctWidth>
                </wp14:sizeRelH>
              </wp:anchor>
            </w:drawing>
          </mc:Choice>
          <mc:Fallback>
            <w:pict>
              <v:line w14:anchorId="5DCE002F" id="Straight Connector 4" o:spid="_x0000_s1026" alt="&quot;&quot;" style="position:absolute;z-index:251660288;visibility:visible;mso-wrap-style:square;mso-width-percent:0;mso-wrap-distance-left:9pt;mso-wrap-distance-top:0;mso-wrap-distance-right:9pt;mso-wrap-distance-bottom:0;mso-position-horizontal:left;mso-position-horizontal-relative:char;mso-position-vertical:absolute;mso-position-vertical-relative:text;mso-width-percent:0;mso-width-relative:margin" from="0,28.35pt" to="278.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" strokecolor="#b17f1d [3204]" strokeweight=".3505mm">
                <v:stroke joinstyle="miter"/>
              </v:line>
            </w:pict>
          </mc:Fallback>
        </mc:AlternateContent>
      </w:r>
      <w:r w:rsidRPr="00D83AFE">
        <w:rPr>
          <w:noProof w:val="0"/>
        </w:rPr>
        <w:t>Übung macht den Meister</w:t>
      </w:r>
    </w:p>
    <w:p w14:paraId="17700912" w14:textId="77777777" w:rsidR="000C10D5" w:rsidRPr="000C10D5" w:rsidRDefault="000C10D5" w:rsidP="000C10D5">
      <w:pPr>
        <w:pStyle w:val="Subtitle"/>
        <w:rPr>
          <w:rStyle w:val="Strong"/>
          <w:b/>
          <w:bCs/>
        </w:rPr>
      </w:pPr>
      <w:r w:rsidRPr="000C10D5">
        <w:rPr>
          <w:rStyle w:val="Strong"/>
          <w:b/>
          <w:bCs/>
        </w:rPr>
        <w:t>Charakter-Analyse</w:t>
      </w:r>
    </w:p>
    <w:p w14:paraId="4018BB0D" w14:textId="6570F9D8" w:rsidR="000C10D5" w:rsidRPr="000C10D5" w:rsidRDefault="000C10D5" w:rsidP="000C10D5">
      <w:pPr>
        <w:pStyle w:val="Subsubtitle"/>
      </w:pPr>
      <w:r w:rsidRPr="000C10D5">
        <w:rPr>
          <w:rStyle w:val="Emphasis"/>
          <w:i w:val="0"/>
          <w:iCs w:val="0"/>
        </w:rPr>
        <w:t>Vorgeschlagene Dauer</w:t>
      </w:r>
      <w:r>
        <w:rPr>
          <w:rStyle w:val="Emphasis"/>
          <w:i w:val="0"/>
          <w:iCs w:val="0"/>
        </w:rPr>
        <w:t>:</w:t>
      </w:r>
      <w:r w:rsidRPr="000C10D5">
        <w:rPr>
          <w:rStyle w:val="Emphasis"/>
          <w:i w:val="0"/>
          <w:iCs w:val="0"/>
        </w:rPr>
        <w:tab/>
      </w:r>
      <w:r w:rsidRPr="000C10D5">
        <w:t>mind. eine Schulstunde</w:t>
      </w:r>
    </w:p>
    <w:p w14:paraId="0FCCAE74" w14:textId="77777777" w:rsidR="000C10D5" w:rsidRPr="00D83AFE" w:rsidRDefault="000C10D5" w:rsidP="000C10D5">
      <w:pPr>
        <w:pStyle w:val="Heading2"/>
      </w:pPr>
      <w:r w:rsidRPr="00D83AFE">
        <w:t>Ziele der Einheit</w:t>
      </w:r>
    </w:p>
    <w:p w14:paraId="3A4D4B9E" w14:textId="77777777" w:rsidR="000C10D5" w:rsidRPr="00D83AFE" w:rsidRDefault="000C10D5" w:rsidP="000C10D5">
      <w:pPr>
        <w:pStyle w:val="Textbody"/>
      </w:pPr>
      <w:r w:rsidRPr="00D83AFE">
        <w:t>Kurzes Wiederholen und Zusammenfassen aller bisher erlernten KVT-Fähigkeiten, einschließlich der wichtigsten KVT-Prinzipien.</w:t>
      </w:r>
    </w:p>
    <w:p w14:paraId="425ABE12" w14:textId="4DCC1294" w:rsidR="000C10D5" w:rsidRPr="00D83AFE" w:rsidRDefault="000C10D5" w:rsidP="000C10D5">
      <w:pPr>
        <w:pStyle w:val="Textbody"/>
      </w:pPr>
      <w:r w:rsidRPr="00D83AFE">
        <w:t xml:space="preserve">Einführung des Konzepts, die Vergangenheit mit den neuen Fähigkeiten zu </w:t>
      </w:r>
      <w:r w:rsidR="00AC3292">
        <w:t>„</w:t>
      </w:r>
      <w:r w:rsidRPr="00D83AFE">
        <w:t>reparieren</w:t>
      </w:r>
      <w:r w:rsidR="00AC3292">
        <w:t>“</w:t>
      </w:r>
      <w:r w:rsidRPr="00D83AFE">
        <w:t xml:space="preserve"> und sich eine zukünftige Krise vorzustellen bzw. für eine solche vorausschauend zu planen.</w:t>
      </w:r>
    </w:p>
    <w:p w14:paraId="2E3A91EE" w14:textId="77777777" w:rsidR="000C10D5" w:rsidRPr="00D83AFE" w:rsidRDefault="000C10D5" w:rsidP="000C10D5">
      <w:pPr>
        <w:pStyle w:val="Textbody"/>
      </w:pPr>
      <w:r w:rsidRPr="00D83AFE">
        <w:t>Schüler*innen zu einem/einer „KVT-Zauber*in“ befördern.</w:t>
      </w:r>
    </w:p>
    <w:p w14:paraId="17FD25B0" w14:textId="77777777" w:rsidR="000C10D5" w:rsidRPr="00D83AFE" w:rsidRDefault="000C10D5" w:rsidP="000C10D5">
      <w:pPr>
        <w:pStyle w:val="Textbody"/>
      </w:pPr>
      <w:r w:rsidRPr="00D83AFE">
        <w:t>Bereitstellung einer Liste von lokalen Kriseneinrichtungen, an die sie sich wenden können, wenn sie in eine Krise geraten, die sich nicht bessert, wenn sie ihre Fähigkeiten anwenden.</w:t>
      </w:r>
    </w:p>
    <w:p w14:paraId="659B9CB0" w14:textId="77777777" w:rsidR="000C10D5" w:rsidRPr="00D83AFE" w:rsidRDefault="000C10D5" w:rsidP="000C10D5">
      <w:pPr>
        <w:pStyle w:val="Heading2"/>
      </w:pPr>
      <w:r w:rsidRPr="00D83AFE">
        <w:t>Zusammenfassung von Aufgaben/Aktivitäten</w:t>
      </w:r>
    </w:p>
    <w:p w14:paraId="1DD6FE48" w14:textId="77777777" w:rsidR="000C10D5" w:rsidRPr="00D83AFE" w:rsidRDefault="000C10D5" w:rsidP="000C10D5">
      <w:pPr>
        <w:pStyle w:val="Heading3"/>
      </w:pPr>
      <w:r w:rsidRPr="00D83AFE">
        <w:t>Vorgeschlagene Aktivitäten / Planung der Einheit</w:t>
      </w:r>
    </w:p>
    <w:p w14:paraId="5BE5CAAD" w14:textId="77777777" w:rsidR="000C10D5" w:rsidRPr="00D83AFE" w:rsidRDefault="000C10D5" w:rsidP="000C10D5">
      <w:pPr>
        <w:pStyle w:val="Textbody"/>
      </w:pPr>
      <w:r w:rsidRPr="00D83AFE">
        <w:t>Diese Einheit sollte die Klasse idealerweise zu einer Gruppendiskussion über die oben genannten Grundsätze zusammenführen.</w:t>
      </w:r>
    </w:p>
    <w:p w14:paraId="199D235F" w14:textId="77777777" w:rsidR="000C10D5" w:rsidRPr="00D83AFE" w:rsidRDefault="000C10D5" w:rsidP="000C10D5">
      <w:pPr>
        <w:pStyle w:val="Textbody"/>
      </w:pPr>
      <w:r w:rsidRPr="00D83AFE">
        <w:t xml:space="preserve">Die Lehrkräfte sollten eine Liste mit Kontakten zu Hilfseirichtungen für Krisensituationen vorbereiten, die sie an die Klasse verteilen, um sie im Falle einer Krise zu nutzen. Hilfseinrichtungen in allen Bundesländern in Österreich finden sich auf </w:t>
      </w:r>
      <w:hyperlink r:id="rId8" w:history="1">
        <w:r w:rsidRPr="00D83AFE">
          <w:rPr>
            <w:rStyle w:val="Hyperlink"/>
            <w:rFonts w:ascii="Times New Roman" w:hAnsi="Times New Roman" w:cs="Times New Roman"/>
            <w:sz w:val="24"/>
            <w:szCs w:val="24"/>
          </w:rPr>
          <w:t>www.suizid-praevention.gv.at</w:t>
        </w:r>
      </w:hyperlink>
      <w:r w:rsidRPr="00D83AFE">
        <w:t xml:space="preserve">, sowie auf </w:t>
      </w:r>
      <w:hyperlink r:id="rId9" w:history="1">
        <w:r w:rsidRPr="00D83AFE">
          <w:rPr>
            <w:rStyle w:val="Hyperlink"/>
            <w:rFonts w:ascii="Times New Roman" w:hAnsi="Times New Roman" w:cs="Times New Roman"/>
            <w:sz w:val="24"/>
            <w:szCs w:val="24"/>
          </w:rPr>
          <w:t>www.bittelebe.at</w:t>
        </w:r>
      </w:hyperlink>
    </w:p>
    <w:p w14:paraId="3C62A2CB" w14:textId="19742283" w:rsidR="000C10D5" w:rsidRPr="00D83AFE" w:rsidRDefault="000C10D5" w:rsidP="000C10D5">
      <w:pPr>
        <w:pStyle w:val="Textbody"/>
      </w:pPr>
      <w:r w:rsidRPr="00D83AFE">
        <w:t xml:space="preserve">Sie können für jede*n Schüler*in ein Pergamentdiplom </w:t>
      </w:r>
      <w:r w:rsidR="00AC3292">
        <w:t>„</w:t>
      </w:r>
      <w:r w:rsidRPr="00D83AFE">
        <w:t>KVT-Zauber*in</w:t>
      </w:r>
      <w:r w:rsidR="00AC3292">
        <w:t>“</w:t>
      </w:r>
      <w:r w:rsidRPr="00D83AFE">
        <w:t xml:space="preserve"> verteilen</w:t>
      </w:r>
    </w:p>
    <w:p w14:paraId="2F0C10D3" w14:textId="77777777" w:rsidR="000C10D5" w:rsidRPr="00D83AFE" w:rsidRDefault="000C10D5" w:rsidP="000C10D5">
      <w:pPr>
        <w:pStyle w:val="Heading2"/>
      </w:pPr>
      <w:bookmarkStart w:id="0" w:name="_Hlk163044271"/>
      <w:r w:rsidRPr="00D83AFE">
        <w:t>Materialien</w:t>
      </w:r>
    </w:p>
    <w:p w14:paraId="00D1842B" w14:textId="77777777" w:rsidR="000C10D5" w:rsidRDefault="000C10D5" w:rsidP="000C10D5">
      <w:pPr>
        <w:pStyle w:val="TableListHeading"/>
        <w:sectPr w:rsidR="000C10D5" w:rsidSect="000C10D5">
          <w:pgSz w:w="11906" w:h="16838"/>
          <w:pgMar w:top="1440" w:right="1440" w:bottom="567" w:left="1440" w:header="708" w:footer="708" w:gutter="0"/>
          <w:cols w:space="708"/>
          <w:docGrid w:linePitch="360"/>
        </w:sectPr>
      </w:pPr>
    </w:p>
    <w:p w14:paraId="5C659B2F" w14:textId="77777777" w:rsidR="000C10D5" w:rsidRPr="00D83AFE" w:rsidRDefault="000C10D5" w:rsidP="000C10D5">
      <w:pPr>
        <w:pStyle w:val="TableListHeading"/>
      </w:pPr>
      <w:r w:rsidRPr="00D83AFE">
        <w:t xml:space="preserve">Erforderlich: </w:t>
      </w:r>
    </w:p>
    <w:p w14:paraId="40FF5196" w14:textId="67ED447B" w:rsidR="000C10D5" w:rsidRPr="00D83AFE" w:rsidRDefault="00CD0076" w:rsidP="000C10D5">
      <w:pPr>
        <w:pStyle w:val="TableList"/>
        <w:numPr>
          <w:ilvl w:val="0"/>
          <w:numId w:val="1"/>
        </w:numPr>
      </w:pPr>
      <w:r>
        <w:t>Exemplare des Buches</w:t>
      </w:r>
    </w:p>
    <w:p w14:paraId="1DE9B678" w14:textId="77777777" w:rsidR="000C10D5" w:rsidRPr="00D83AFE" w:rsidRDefault="000C10D5" w:rsidP="000C10D5">
      <w:pPr>
        <w:pStyle w:val="TableList"/>
        <w:numPr>
          <w:ilvl w:val="0"/>
          <w:numId w:val="1"/>
        </w:numPr>
      </w:pPr>
      <w:r w:rsidRPr="00D83AFE">
        <w:t xml:space="preserve">Handouts (elektronisch oder in Papierform; siehe Anhang) </w:t>
      </w:r>
    </w:p>
    <w:p w14:paraId="2A09DE4E" w14:textId="77777777" w:rsidR="000C10D5" w:rsidRPr="00D83AFE" w:rsidRDefault="000C10D5" w:rsidP="000C10D5">
      <w:pPr>
        <w:pStyle w:val="TableListHeading"/>
      </w:pPr>
      <w:r w:rsidRPr="00D83AFE">
        <w:t xml:space="preserve">Optional: </w:t>
      </w:r>
    </w:p>
    <w:p w14:paraId="57A21F77" w14:textId="77777777" w:rsidR="000C10D5" w:rsidRPr="00D83AFE" w:rsidRDefault="000C10D5" w:rsidP="000C10D5">
      <w:pPr>
        <w:pStyle w:val="TableList"/>
        <w:numPr>
          <w:ilvl w:val="0"/>
          <w:numId w:val="1"/>
        </w:numPr>
      </w:pPr>
      <w:r w:rsidRPr="00D83AFE">
        <w:t>Audioversionen vom Text</w:t>
      </w:r>
    </w:p>
    <w:p w14:paraId="3B45D38C" w14:textId="77777777" w:rsidR="000C10D5" w:rsidRDefault="000C10D5" w:rsidP="000C10D5">
      <w:pPr>
        <w:pStyle w:val="TableList"/>
        <w:numPr>
          <w:ilvl w:val="0"/>
          <w:numId w:val="1"/>
        </w:numPr>
      </w:pPr>
      <w:r w:rsidRPr="00D83AFE">
        <w:t>Ausschnitte vom Film</w:t>
      </w:r>
    </w:p>
    <w:p w14:paraId="00C82517" w14:textId="77777777" w:rsidR="000C10D5" w:rsidRDefault="000C10D5" w:rsidP="000C10D5">
      <w:pPr>
        <w:pStyle w:val="TableListHeading"/>
        <w:keepNext/>
        <w:sectPr w:rsidR="000C10D5" w:rsidSect="000C10D5">
          <w:type w:val="continuous"/>
          <w:pgSz w:w="11906" w:h="16838"/>
          <w:pgMar w:top="1440" w:right="1440" w:bottom="567" w:left="1440" w:header="708" w:footer="708" w:gutter="0"/>
          <w:cols w:num="2" w:space="708"/>
          <w:docGrid w:linePitch="360"/>
        </w:sectPr>
      </w:pPr>
    </w:p>
    <w:p w14:paraId="24FA5B97" w14:textId="77777777" w:rsidR="000C10D5" w:rsidRPr="00D83AFE" w:rsidRDefault="000C10D5" w:rsidP="000C10D5">
      <w:pPr>
        <w:pStyle w:val="TableListHeading"/>
        <w:keepNext/>
      </w:pPr>
      <w:r w:rsidRPr="00D83AFE">
        <w:t xml:space="preserve">Empfehlung beim Einsatz vom Film: </w:t>
      </w:r>
    </w:p>
    <w:p w14:paraId="33987744" w14:textId="77777777" w:rsidR="000C10D5" w:rsidRPr="00D83AFE" w:rsidRDefault="000C10D5" w:rsidP="000C10D5">
      <w:pPr>
        <w:pStyle w:val="TableList"/>
        <w:numPr>
          <w:ilvl w:val="0"/>
          <w:numId w:val="1"/>
        </w:numPr>
      </w:pPr>
      <w:r w:rsidRPr="00D83AFE">
        <w:t>Kapitel 21 (Hermines Geheimnis) - Filmausschnitt von Minute 1:45:38 bis 2:04:59</w:t>
      </w:r>
    </w:p>
    <w:p w14:paraId="7B242EA6" w14:textId="77777777" w:rsidR="000C10D5" w:rsidRPr="00D83AFE" w:rsidRDefault="000C10D5" w:rsidP="000C10D5">
      <w:pPr>
        <w:pStyle w:val="TableList"/>
        <w:numPr>
          <w:ilvl w:val="0"/>
          <w:numId w:val="1"/>
        </w:numPr>
      </w:pPr>
      <w:r w:rsidRPr="00D83AFE">
        <w:t xml:space="preserve">Kapitel 22 (Noch einmal Eulenpost) – komplett lesen </w:t>
      </w:r>
      <w:bookmarkEnd w:id="0"/>
    </w:p>
    <w:sectPr w:rsidR="000C10D5" w:rsidRPr="00D83AFE" w:rsidSect="000C10D5">
      <w:type w:val="continuous"/>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3AED0" w14:textId="77777777" w:rsidR="00C54B9C" w:rsidRDefault="00C54B9C" w:rsidP="005A14C8">
      <w:r>
        <w:separator/>
      </w:r>
    </w:p>
  </w:endnote>
  <w:endnote w:type="continuationSeparator" w:id="0">
    <w:p w14:paraId="6A8455CB" w14:textId="77777777" w:rsidR="00C54B9C" w:rsidRDefault="00C54B9C" w:rsidP="005A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E9DDD3ED-8A39-4C46-8DA8-7529D9693CA8}"/>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2" w:fontKey="{55475540-2D74-4445-A8E2-DD6D7AD833E1}"/>
    <w:embedBold r:id="rId3" w:fontKey="{C9B5F718-FEDA-483C-9AE7-78B6BB068891}"/>
    <w:embedItalic r:id="rId4" w:fontKey="{B23F8B51-26AA-4AE9-A9F1-BD519A79A616}"/>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5" w:subsetted="1" w:fontKey="{9D2E7E56-9579-4B6D-91DB-57784A70BB62}"/>
  </w:font>
  <w:font w:name="Lato">
    <w:panose1 w:val="020F0502020204030203"/>
    <w:charset w:val="00"/>
    <w:family w:val="swiss"/>
    <w:pitch w:val="variable"/>
    <w:sig w:usb0="800000AF" w:usb1="4000604A" w:usb2="00000000" w:usb3="00000000" w:csb0="00000093" w:csb1="00000000"/>
    <w:embedRegular r:id="rId6" w:subsetted="1" w:fontKey="{921610CF-751C-4BBE-8EE9-940EA141714B}"/>
    <w:embedBold r:id="rId7" w:fontKey="{358D0744-83D4-4FAC-80AF-7F4C2E1A0EA4}"/>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4567A" w14:textId="77777777" w:rsidR="00C54B9C" w:rsidRDefault="00C54B9C" w:rsidP="005A14C8">
      <w:r>
        <w:separator/>
      </w:r>
    </w:p>
  </w:footnote>
  <w:footnote w:type="continuationSeparator" w:id="0">
    <w:p w14:paraId="53FC1915" w14:textId="77777777" w:rsidR="00C54B9C" w:rsidRDefault="00C54B9C" w:rsidP="005A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D5"/>
    <w:rsid w:val="000B0223"/>
    <w:rsid w:val="000C10D5"/>
    <w:rsid w:val="0015405A"/>
    <w:rsid w:val="00154BAE"/>
    <w:rsid w:val="00223797"/>
    <w:rsid w:val="00233DB1"/>
    <w:rsid w:val="002F3F56"/>
    <w:rsid w:val="003C7E9F"/>
    <w:rsid w:val="00413F7F"/>
    <w:rsid w:val="004C466D"/>
    <w:rsid w:val="00551C45"/>
    <w:rsid w:val="005A14C8"/>
    <w:rsid w:val="005C27E4"/>
    <w:rsid w:val="00601D1C"/>
    <w:rsid w:val="006946D5"/>
    <w:rsid w:val="006D3506"/>
    <w:rsid w:val="007126EF"/>
    <w:rsid w:val="00754804"/>
    <w:rsid w:val="007A78B9"/>
    <w:rsid w:val="007B7274"/>
    <w:rsid w:val="007E3E4D"/>
    <w:rsid w:val="008D75A3"/>
    <w:rsid w:val="009D74EC"/>
    <w:rsid w:val="00AC3292"/>
    <w:rsid w:val="00B1372E"/>
    <w:rsid w:val="00B274FF"/>
    <w:rsid w:val="00C47E13"/>
    <w:rsid w:val="00C54B9C"/>
    <w:rsid w:val="00C629B6"/>
    <w:rsid w:val="00CD0076"/>
    <w:rsid w:val="00D42CEE"/>
    <w:rsid w:val="00DE124B"/>
    <w:rsid w:val="00E61A1B"/>
    <w:rsid w:val="00E72889"/>
    <w:rsid w:val="00EB503C"/>
    <w:rsid w:val="00EC6032"/>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0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character" w:styleId="Hyperlink">
    <w:name w:val="Hyperlink"/>
    <w:basedOn w:val="DefaultParagraphFont"/>
    <w:uiPriority w:val="99"/>
    <w:unhideWhenUsed/>
    <w:rsid w:val="000C10D5"/>
    <w:rPr>
      <w:color w:val="D3A625" w:themeColor="hyperlink"/>
      <w:u w:val="single"/>
    </w:rPr>
  </w:style>
  <w:style w:type="paragraph" w:styleId="Header">
    <w:name w:val="header"/>
    <w:basedOn w:val="Normal"/>
    <w:link w:val="HeaderChar"/>
    <w:uiPriority w:val="99"/>
    <w:unhideWhenUsed/>
    <w:rsid w:val="005A14C8"/>
    <w:pPr>
      <w:tabs>
        <w:tab w:val="center" w:pos="4513"/>
        <w:tab w:val="right" w:pos="9026"/>
      </w:tabs>
    </w:pPr>
  </w:style>
  <w:style w:type="character" w:customStyle="1" w:styleId="HeaderChar">
    <w:name w:val="Header Char"/>
    <w:basedOn w:val="DefaultParagraphFont"/>
    <w:link w:val="Header"/>
    <w:uiPriority w:val="99"/>
    <w:rsid w:val="005A14C8"/>
    <w:rPr>
      <w:rFonts w:asciiTheme="minorHAnsi" w:hAnsiTheme="minorHAnsi"/>
      <w:kern w:val="2"/>
      <w:sz w:val="23"/>
      <w14:ligatures w14:val="standardContextual"/>
    </w:rPr>
  </w:style>
  <w:style w:type="paragraph" w:styleId="Footer">
    <w:name w:val="footer"/>
    <w:basedOn w:val="Normal"/>
    <w:link w:val="FooterChar"/>
    <w:uiPriority w:val="99"/>
    <w:unhideWhenUsed/>
    <w:rsid w:val="005A14C8"/>
    <w:pPr>
      <w:tabs>
        <w:tab w:val="center" w:pos="4513"/>
        <w:tab w:val="right" w:pos="9026"/>
      </w:tabs>
    </w:pPr>
  </w:style>
  <w:style w:type="character" w:customStyle="1" w:styleId="FooterChar">
    <w:name w:val="Footer Char"/>
    <w:basedOn w:val="DefaultParagraphFont"/>
    <w:link w:val="Footer"/>
    <w:uiPriority w:val="99"/>
    <w:rsid w:val="005A14C8"/>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zid-praevention.gv.a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ttelebe.at"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2024-06-17T19:16:00Z</dcterms:created>
  <dcterms:modified xsi:type="dcterms:W3CDTF">2024-06-18T21:02:00Z</dcterms:modified>
</cp:coreProperties>
</file>